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58D3" w14:textId="77777777" w:rsidR="00A560B3" w:rsidRPr="00A560B3" w:rsidRDefault="00A560B3" w:rsidP="00A560B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Vision</w:t>
      </w:r>
    </w:p>
    <w:p w14:paraId="7E678252" w14:textId="1716DA55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In the enchanting realm of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, we aim to create a vibrant and engaging meme token ecosystem. By harnessing the power of internet culture, we’re building a magical, sustainable, community-driven platform that integrates DeFi, NFTs, gaming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, and potentially real-world activities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. Our mission is to empower users, foster widespread adoption, and drive active participation within a dynamic and inclusive ecosystem. At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, users aren’t just participants—they’re the wizards crafting the future. We’re all about fair, transparent, and user-driven 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decentralization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, making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a beacon of empowerment and magical fun!</w:t>
      </w:r>
    </w:p>
    <w:p w14:paraId="63FF84AA" w14:textId="77777777" w:rsidR="00A560B3" w:rsidRPr="00A560B3" w:rsidRDefault="00A560B3" w:rsidP="00A560B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Introduction</w:t>
      </w:r>
    </w:p>
    <w:p w14:paraId="5C9157C8" w14:textId="7E6E089F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Welcome to the enchanting world of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, where magic meets community empowerment! Through the creation of a cornerstone community token,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sets out to revolutionize the way we engage with 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decentralized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ecosystems. Our mission is to empower users, drive widespread adoption, and promote active participation within a vibrant and equitable environment.</w:t>
      </w:r>
    </w:p>
    <w:p w14:paraId="4EE16E52" w14:textId="77777777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Imagine a realm where users are at the heart of every decision, where the power lies in the hands of the community rather than large investors.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is dedicated to fostering a user-centric ecosystem that values contribution, innovation, and collaboration. By centering our focus on community involvement, we aim to create a sustainable and inclusive platform where everyone's efforts are recognized and rewarded.</w:t>
      </w:r>
    </w:p>
    <w:p w14:paraId="39521163" w14:textId="3321E94F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At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, our token is more than just a medium of exchange – it's a symbol of unity and utility within our magical realm. Designed to facilitate seamless transactions and interactions, the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token embodies the spirit of 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decentralization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and user empowerment. Unlike traditional investments, our token is all about enhancing community engagement and providing real value to our users.</w:t>
      </w:r>
    </w:p>
    <w:p w14:paraId="1C71D563" w14:textId="7642567D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Join us on this extraordinary journey as we embark on a quest to build a thriving ecosystem that embraces diversity, creativity, and growth. Let the whimsical charm of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inspire you to explore new horizons in the world of 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decentralized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finance and web3 concepts. Together, we will unlock the potential of this mystical realm and create a future where every user plays a vital role in shaping our shared destiny.</w:t>
      </w:r>
    </w:p>
    <w:p w14:paraId="5614094F" w14:textId="77777777" w:rsidR="00A560B3" w:rsidRPr="00A560B3" w:rsidRDefault="00A560B3" w:rsidP="00A560B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proofErr w:type="spellStart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Tokenomics</w:t>
      </w:r>
      <w:proofErr w:type="spellEnd"/>
    </w:p>
    <w:p w14:paraId="59B60D70" w14:textId="77777777" w:rsidR="00A560B3" w:rsidRPr="00A560B3" w:rsidRDefault="00A560B3" w:rsidP="00A56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Total Supply:</w:t>
      </w:r>
      <w:r w:rsidRPr="00A560B3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5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trillion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WIZ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tokens</w:t>
      </w:r>
      <w:proofErr w:type="spellEnd"/>
    </w:p>
    <w:p w14:paraId="382E778D" w14:textId="77777777" w:rsidR="00A560B3" w:rsidRPr="00A560B3" w:rsidRDefault="00A560B3" w:rsidP="00A56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Blockchain: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Binance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Smart Chain (BSC) - BEP-20 token type</w:t>
      </w:r>
    </w:p>
    <w:p w14:paraId="69AD2B58" w14:textId="77777777" w:rsidR="00A560B3" w:rsidRPr="00A560B3" w:rsidRDefault="00A560B3" w:rsidP="00A56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proofErr w:type="spellStart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lastRenderedPageBreak/>
        <w:t>Allocation</w:t>
      </w:r>
      <w:proofErr w:type="spellEnd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:</w:t>
      </w:r>
    </w:p>
    <w:p w14:paraId="3364C7FB" w14:textId="77777777" w:rsidR="00A560B3" w:rsidRPr="00A560B3" w:rsidRDefault="00A560B3" w:rsidP="00A560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Presale: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40% - funds will be used for development, providing liquidity, and driving community growth.</w:t>
      </w:r>
    </w:p>
    <w:p w14:paraId="3C58A912" w14:textId="61D00407" w:rsidR="00A560B3" w:rsidRPr="00A560B3" w:rsidRDefault="00A560B3" w:rsidP="00A560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Airdrop/Rewards: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10% - dedicated to free airdrops and rewards to engage and reward our community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including NFT purchases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.</w:t>
      </w:r>
    </w:p>
    <w:p w14:paraId="305AFCEB" w14:textId="3650B74B" w:rsidR="00A560B3" w:rsidRPr="00A560B3" w:rsidRDefault="00A560B3" w:rsidP="00A560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Marketing: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30% - allocated for global promotional efforts to increase token adoption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, and 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visibilit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y for example organizing NFT raffles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.</w:t>
      </w:r>
    </w:p>
    <w:p w14:paraId="2DA593FF" w14:textId="77777777" w:rsidR="00A560B3" w:rsidRPr="00A560B3" w:rsidRDefault="00A560B3" w:rsidP="00A560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DEX/CEX Liquidity: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15% - ensures sufficient liquidity for transactions and enhances user experience.</w:t>
      </w:r>
    </w:p>
    <w:p w14:paraId="442B6232" w14:textId="77777777" w:rsidR="00A560B3" w:rsidRPr="00A560B3" w:rsidRDefault="00A560B3" w:rsidP="00A560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Team Tokens: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5% - allocated to the founding team to incentivize development and operations.</w:t>
      </w:r>
    </w:p>
    <w:p w14:paraId="4F62F9B8" w14:textId="77777777" w:rsidR="00A560B3" w:rsidRPr="00A560B3" w:rsidRDefault="00A560B3" w:rsidP="00A560B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Utilization</w:t>
      </w:r>
    </w:p>
    <w:p w14:paraId="2312F4B7" w14:textId="77777777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We want to usher you into the enchanting world of NFTs.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Our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plan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includes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:</w:t>
      </w:r>
    </w:p>
    <w:p w14:paraId="2942E766" w14:textId="77777777" w:rsidR="00A560B3" w:rsidRPr="00A560B3" w:rsidRDefault="00A560B3" w:rsidP="00A56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Acquisition of Notable NFTs: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We plan to purchase significant collections such as Cyberpunk by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Beeple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and various Superhero-themed NFTs.</w:t>
      </w:r>
    </w:p>
    <w:p w14:paraId="06B40282" w14:textId="77777777" w:rsidR="00A560B3" w:rsidRPr="00A560B3" w:rsidRDefault="00A560B3" w:rsidP="00A56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Raffle and Lottery: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Organize raffles where you can win these highly coveted and expensive NFT collections. The more WIZ tokens you hold, the more coupons you receive, increasing your chances of winning.</w:t>
      </w:r>
    </w:p>
    <w:p w14:paraId="42D0EF85" w14:textId="77777777" w:rsidR="00A560B3" w:rsidRPr="00A560B3" w:rsidRDefault="00A560B3" w:rsidP="00A560B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Security</w:t>
      </w:r>
    </w:p>
    <w:p w14:paraId="6481A74B" w14:textId="77777777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Our smart contract was developed by highly skilled developers and audited by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CyberScope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. The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Binance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Smart Chain is known for its robustness, filled with elegant and straightforward code, ensuring a safe and secure platform for our users.</w:t>
      </w:r>
    </w:p>
    <w:p w14:paraId="5CFBCA40" w14:textId="77777777" w:rsidR="00A560B3" w:rsidRPr="00A560B3" w:rsidRDefault="00A560B3" w:rsidP="00A560B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Roadmap</w:t>
      </w:r>
    </w:p>
    <w:p w14:paraId="161D1F3F" w14:textId="77777777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ascii="Times New Roman" w:eastAsia="Times New Roman" w:hAnsi="Symbol" w:cs="Times New Roman"/>
          <w:kern w:val="0"/>
          <w:sz w:val="24"/>
          <w:szCs w:val="24"/>
          <w:lang w:eastAsia="pl-PL"/>
          <w14:ligatures w14:val="none"/>
        </w:rPr>
        <w:t></w:t>
      </w:r>
      <w:r w:rsidRPr="00A560B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 </w:t>
      </w: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Phase 1: Launch and Initial Listings</w:t>
      </w:r>
    </w:p>
    <w:p w14:paraId="76447093" w14:textId="77777777" w:rsidR="00A560B3" w:rsidRPr="00A560B3" w:rsidRDefault="00A560B3" w:rsidP="00A560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Token Presale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Start with a vibrant presale campaign to engage early investors and secure initial funding.</w:t>
      </w:r>
    </w:p>
    <w:p w14:paraId="3A9FBC8D" w14:textId="77777777" w:rsidR="00A560B3" w:rsidRPr="00A560B3" w:rsidRDefault="00A560B3" w:rsidP="00A560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Initial DEX Listing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: List the token on decentralized exchanges like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PancakeSwap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immediately following the presale to ensure liquidity and trading availability.</w:t>
      </w:r>
    </w:p>
    <w:p w14:paraId="246690E8" w14:textId="1671AB3F" w:rsidR="00A560B3" w:rsidRPr="00A560B3" w:rsidRDefault="00A560B3" w:rsidP="00A560B3">
      <w:pP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D2C9F3D" w14:textId="77777777" w:rsidR="00A560B3" w:rsidRDefault="00A560B3">
      <w:pPr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br w:type="page"/>
      </w:r>
    </w:p>
    <w:p w14:paraId="1D113E86" w14:textId="21C351FA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proofErr w:type="spellStart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lastRenderedPageBreak/>
        <w:t>Phase</w:t>
      </w:r>
      <w:proofErr w:type="spellEnd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2: Expansion and </w:t>
      </w:r>
      <w:proofErr w:type="spellStart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Partnerships</w:t>
      </w:r>
      <w:proofErr w:type="spellEnd"/>
    </w:p>
    <w:p w14:paraId="3998513A" w14:textId="77777777" w:rsidR="00A560B3" w:rsidRPr="00A560B3" w:rsidRDefault="00A560B3" w:rsidP="00A560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Marketing Campaign Launch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Implement a comprehensive marketing strategy to boost token visibility and attract new users.</w:t>
      </w:r>
    </w:p>
    <w:p w14:paraId="237100E7" w14:textId="77777777" w:rsidR="00A560B3" w:rsidRPr="00A560B3" w:rsidRDefault="00A560B3" w:rsidP="00A560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Strategic Partnerships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Form alliances with key players in the DeFi and NFT marketplaces to enhance the platform's features and outreach.</w:t>
      </w:r>
    </w:p>
    <w:p w14:paraId="413C67CC" w14:textId="77777777" w:rsidR="00A560B3" w:rsidRPr="00A560B3" w:rsidRDefault="00A560B3" w:rsidP="00A560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Extended Exchange Listings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List the token on additional exchanges to improve accessibility and trading volume.</w:t>
      </w:r>
    </w:p>
    <w:p w14:paraId="4566DAB2" w14:textId="1F7CC595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Phase 3: Community and Ecosystem Development</w:t>
      </w:r>
    </w:p>
    <w:p w14:paraId="15E0B37C" w14:textId="77777777" w:rsidR="00A560B3" w:rsidRPr="00A560B3" w:rsidRDefault="00A560B3" w:rsidP="00A560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Community Building Initiatives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Conduct events, AMAs, and interactive sessions to foster a robust community.</w:t>
      </w:r>
    </w:p>
    <w:p w14:paraId="68526733" w14:textId="4EF3D714" w:rsidR="00A560B3" w:rsidRPr="00A560B3" w:rsidRDefault="00A560B3" w:rsidP="00A560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Enhance Platform Utilities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Roll out additional functionalities within the gaming and NFT sectors to increase token utility and user engagement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including organizing the first NFT raffle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.</w:t>
      </w:r>
    </w:p>
    <w:p w14:paraId="3C4DF07C" w14:textId="77777777" w:rsidR="00A560B3" w:rsidRPr="00A560B3" w:rsidRDefault="00A560B3" w:rsidP="00A560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Major CEX Listings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Achieve listings on top-tier centralized exchanges to solidify market presence and provide users with various trading options.</w:t>
      </w:r>
    </w:p>
    <w:p w14:paraId="150FA08A" w14:textId="63F33DFF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proofErr w:type="spellStart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Phase</w:t>
      </w:r>
      <w:proofErr w:type="spellEnd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4: </w:t>
      </w:r>
      <w:proofErr w:type="spellStart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Innovation</w:t>
      </w:r>
      <w:proofErr w:type="spellEnd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and </w:t>
      </w:r>
      <w:proofErr w:type="spellStart"/>
      <w:r w:rsidRPr="00A560B3">
        <w:rPr>
          <w:rFonts w:eastAsia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Growth</w:t>
      </w:r>
      <w:proofErr w:type="spellEnd"/>
    </w:p>
    <w:p w14:paraId="138E794B" w14:textId="77777777" w:rsidR="00A560B3" w:rsidRPr="00A560B3" w:rsidRDefault="00A560B3" w:rsidP="00A560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Integration of Advanced Features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Introduce innovative features like staking and governance mechanisms to empower token holders and incentivize participation.</w:t>
      </w:r>
    </w:p>
    <w:p w14:paraId="5BCFFDB3" w14:textId="77777777" w:rsidR="00A560B3" w:rsidRPr="00A560B3" w:rsidRDefault="00A560B3" w:rsidP="00A560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Global Marketing Drive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Expand marketing efforts globally to reach a wider audience and drive adoption across different regions.</w:t>
      </w:r>
    </w:p>
    <w:p w14:paraId="05304FE2" w14:textId="3E465626" w:rsidR="00A560B3" w:rsidRPr="00A560B3" w:rsidRDefault="00A560B3" w:rsidP="00A560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Cross-chain Integrations</w:t>
      </w: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: Develop interoperability features with other blockchains to enhance user experience and platform efficiency.</w:t>
      </w:r>
    </w:p>
    <w:p w14:paraId="2975482D" w14:textId="77777777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By staying informed and vigilant, participants can navigate the enchanting yet dynamic landscape of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with a heightened sense of awareness and preparedness. Embrace the magic responsibly, and embark on your journey with caution and foresight.</w:t>
      </w:r>
    </w:p>
    <w:p w14:paraId="135EAD3C" w14:textId="77777777" w:rsidR="00A560B3" w:rsidRPr="00A560B3" w:rsidRDefault="00A560B3" w:rsidP="00A560B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b/>
          <w:bCs/>
          <w:kern w:val="0"/>
          <w:sz w:val="26"/>
          <w:szCs w:val="26"/>
          <w:lang w:val="en-US" w:eastAsia="pl-PL"/>
          <w14:ligatures w14:val="none"/>
        </w:rPr>
        <w:t>Legal Disclaimer</w:t>
      </w:r>
    </w:p>
    <w:p w14:paraId="322883D4" w14:textId="77777777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Investing in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(WIZ) token involves significant risk, including the potential loss of your entire investment. The value of cryptocurrencies is highly volatile and can be influenced by a variety of factors, including market conditions, regulatory changes, and technological developments.</w:t>
      </w:r>
    </w:p>
    <w:p w14:paraId="57563C39" w14:textId="77777777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All investment decisions are made at the investor's sole discretion and risk.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DogWizHat's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founders, owners, and team members are not liable for any financial losses, damages, or adverse consequences resulting from investments in </w:t>
      </w:r>
      <w:proofErr w:type="spellStart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>DogWizHat</w:t>
      </w:r>
      <w:proofErr w:type="spellEnd"/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(WIZ) token.</w:t>
      </w:r>
    </w:p>
    <w:p w14:paraId="2251393D" w14:textId="1ADBFC41" w:rsidR="00A560B3" w:rsidRPr="00A560B3" w:rsidRDefault="00A560B3" w:rsidP="00A560B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A560B3"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lastRenderedPageBreak/>
        <w:t>Investors are strongly encouraged to conduct thorough research, consult with qualified financial advisors, and carefully consider their risk tolerance before investing.</w:t>
      </w:r>
      <w:r>
        <w:rPr>
          <w:rFonts w:eastAsia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 Utilization of the WIZ token and the roadmap presented in this document are subject to change.</w:t>
      </w:r>
    </w:p>
    <w:p w14:paraId="3F8A2A73" w14:textId="77777777" w:rsidR="00763058" w:rsidRPr="00A560B3" w:rsidRDefault="00763058" w:rsidP="00A560B3">
      <w:pPr>
        <w:rPr>
          <w:sz w:val="26"/>
          <w:szCs w:val="26"/>
          <w:lang w:val="en-US"/>
        </w:rPr>
      </w:pPr>
    </w:p>
    <w:sectPr w:rsidR="00763058" w:rsidRPr="00A5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7CC"/>
    <w:multiLevelType w:val="multilevel"/>
    <w:tmpl w:val="03F6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10F1C"/>
    <w:multiLevelType w:val="multilevel"/>
    <w:tmpl w:val="9984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04E9F"/>
    <w:multiLevelType w:val="multilevel"/>
    <w:tmpl w:val="DD6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F16F4"/>
    <w:multiLevelType w:val="multilevel"/>
    <w:tmpl w:val="AC22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F093E"/>
    <w:multiLevelType w:val="multilevel"/>
    <w:tmpl w:val="85C2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A5E9B"/>
    <w:multiLevelType w:val="multilevel"/>
    <w:tmpl w:val="775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8563C"/>
    <w:multiLevelType w:val="multilevel"/>
    <w:tmpl w:val="ED1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069979">
    <w:abstractNumId w:val="2"/>
  </w:num>
  <w:num w:numId="2" w16cid:durableId="1549801994">
    <w:abstractNumId w:val="6"/>
  </w:num>
  <w:num w:numId="3" w16cid:durableId="1578519310">
    <w:abstractNumId w:val="1"/>
  </w:num>
  <w:num w:numId="4" w16cid:durableId="1115170056">
    <w:abstractNumId w:val="4"/>
  </w:num>
  <w:num w:numId="5" w16cid:durableId="91516171">
    <w:abstractNumId w:val="5"/>
  </w:num>
  <w:num w:numId="6" w16cid:durableId="1414351481">
    <w:abstractNumId w:val="0"/>
  </w:num>
  <w:num w:numId="7" w16cid:durableId="716513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9"/>
    <w:rsid w:val="00573BBF"/>
    <w:rsid w:val="005C2458"/>
    <w:rsid w:val="0066598C"/>
    <w:rsid w:val="00763058"/>
    <w:rsid w:val="009063A6"/>
    <w:rsid w:val="00912694"/>
    <w:rsid w:val="00A54A19"/>
    <w:rsid w:val="00A560B3"/>
    <w:rsid w:val="00F101FF"/>
    <w:rsid w:val="00F6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1F380"/>
  <w15:chartTrackingRefBased/>
  <w15:docId w15:val="{6529F325-FE9F-44E0-BC72-27E4A9DF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4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4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54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A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A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A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A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A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A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4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4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4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4A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4A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4A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4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4A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4A19"/>
    <w:rPr>
      <w:b/>
      <w:bCs/>
      <w:smallCaps/>
      <w:color w:val="0F4761" w:themeColor="accent1" w:themeShade="BF"/>
      <w:spacing w:val="5"/>
    </w:rPr>
  </w:style>
  <w:style w:type="character" w:customStyle="1" w:styleId="toolbarlabel">
    <w:name w:val="toolbarlabel"/>
    <w:basedOn w:val="Domylnaczcionkaakapitu"/>
    <w:rsid w:val="00A54A19"/>
  </w:style>
  <w:style w:type="character" w:customStyle="1" w:styleId="dropdowntoolbarbutton">
    <w:name w:val="dropdowntoolbarbutton"/>
    <w:basedOn w:val="Domylnaczcionkaakapitu"/>
    <w:rsid w:val="00A54A19"/>
  </w:style>
  <w:style w:type="character" w:customStyle="1" w:styleId="markedcontent">
    <w:name w:val="markedcontent"/>
    <w:basedOn w:val="Domylnaczcionkaakapitu"/>
    <w:rsid w:val="00A54A19"/>
  </w:style>
  <w:style w:type="paragraph" w:styleId="NormalnyWeb">
    <w:name w:val="Normal (Web)"/>
    <w:basedOn w:val="Normalny"/>
    <w:uiPriority w:val="99"/>
    <w:semiHidden/>
    <w:unhideWhenUsed/>
    <w:rsid w:val="00A5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56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350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3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9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6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2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910</Words>
  <Characters>5433</Characters>
  <Application>Microsoft Office Word</Application>
  <DocSecurity>0</DocSecurity>
  <Lines>110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 Kruszewski</dc:creator>
  <cp:keywords/>
  <dc:description/>
  <cp:lastModifiedBy>Bolo Kruszewski</cp:lastModifiedBy>
  <cp:revision>1</cp:revision>
  <dcterms:created xsi:type="dcterms:W3CDTF">2024-06-27T09:24:00Z</dcterms:created>
  <dcterms:modified xsi:type="dcterms:W3CDTF">2024-06-27T09:58:00Z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7994156c-daa9-4631-809d-424f50248e91</vt:lpwstr>
  </property>
</Properties>
</file>